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69D04ED3"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6009CD">
        <w:rPr>
          <w:rFonts w:ascii="Arial" w:hAnsi="Arial" w:cs="Arial"/>
          <w:b/>
          <w:bCs/>
          <w:sz w:val="20"/>
          <w:szCs w:val="20"/>
          <w:lang w:eastAsia="en-GB"/>
        </w:rPr>
        <w:t>3</w:t>
      </w:r>
    </w:p>
    <w:p w14:paraId="137D3196" w14:textId="13C1B1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009CD">
        <w:rPr>
          <w:rFonts w:ascii="Arial" w:hAnsi="Arial" w:cs="Arial"/>
          <w:b/>
          <w:bCs/>
          <w:sz w:val="20"/>
          <w:szCs w:val="20"/>
          <w:lang w:eastAsia="en-GB"/>
        </w:rPr>
        <w:t>08/03/2024</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4D31A7BB" w:rsidR="00754729" w:rsidRPr="005E1E0E" w:rsidRDefault="00E76E5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Crich Medical practice </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03A94AC9"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 xml:space="preserve">[Practice Name] has </w:t>
      </w:r>
      <w:r w:rsidR="00EA3C1A">
        <w:rPr>
          <w:rFonts w:ascii="Arial" w:hAnsi="Arial" w:cs="Arial"/>
          <w:color w:val="000000" w:themeColor="text1"/>
          <w:sz w:val="22"/>
          <w:szCs w:val="22"/>
        </w:rPr>
        <w:t>reviewed</w:t>
      </w:r>
      <w:r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4"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 xml:space="preserve">This information is not shared with third parties or used for any marketing and you can unsubscribe at </w:t>
      </w:r>
      <w:r w:rsidRPr="005E1E0E">
        <w:rPr>
          <w:rFonts w:ascii="Arial" w:hAnsi="Arial" w:cs="Arial"/>
          <w:sz w:val="20"/>
          <w:szCs w:val="20"/>
        </w:rPr>
        <w:lastRenderedPageBreak/>
        <w:t>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673383D2" w14:textId="77777777" w:rsidR="00115045" w:rsidRDefault="00115045" w:rsidP="00115045">
      <w:pPr>
        <w:widowControl w:val="0"/>
      </w:pPr>
      <w:hyperlink r:id="rId51"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0D4C244" w14:textId="33F51FED" w:rsidR="003607F2" w:rsidRDefault="003607F2" w:rsidP="00E76E5F">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E76E5F">
        <w:rPr>
          <w:rFonts w:ascii="Arial" w:hAnsi="Arial" w:cs="Arial"/>
          <w:sz w:val="20"/>
          <w:szCs w:val="20"/>
          <w:shd w:val="clear" w:color="auto" w:fill="FFFFFF"/>
        </w:rPr>
        <w:t>ARCH PCN</w:t>
      </w:r>
      <w:r>
        <w:rPr>
          <w:rFonts w:ascii="Arial" w:hAnsi="Arial" w:cs="Arial"/>
          <w:sz w:val="20"/>
          <w:szCs w:val="20"/>
          <w:shd w:val="clear" w:color="auto" w:fill="FFFFFF"/>
        </w:rPr>
        <w:t xml:space="preserve">.  </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lastRenderedPageBreak/>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bookmarkEnd w:id="8"/>
    <w:p w14:paraId="71DD97AF" w14:textId="77777777" w:rsidR="00E76E5F" w:rsidRDefault="00E76E5F" w:rsidP="008F3418">
      <w:pPr>
        <w:widowControl w:val="0"/>
        <w:rPr>
          <w:rFonts w:ascii="Arial" w:hAnsi="Arial" w:cs="Arial"/>
          <w:b/>
          <w:sz w:val="20"/>
          <w:szCs w:val="20"/>
        </w:rPr>
      </w:pPr>
    </w:p>
    <w:p w14:paraId="2365B3B5" w14:textId="0301A9D9"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4659015"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E76E5F">
        <w:rPr>
          <w:rFonts w:ascii="Arial" w:eastAsia="Times New Roman" w:hAnsi="Arial" w:cs="Arial"/>
          <w:sz w:val="20"/>
          <w:szCs w:val="20"/>
          <w:lang w:eastAsia="en-GB"/>
        </w:rPr>
        <w:t xml:space="preserve">Crich Medical </w:t>
      </w:r>
      <w:proofErr w:type="gramStart"/>
      <w:r w:rsidR="00E76E5F">
        <w:rPr>
          <w:rFonts w:ascii="Arial" w:eastAsia="Times New Roman" w:hAnsi="Arial" w:cs="Arial"/>
          <w:sz w:val="20"/>
          <w:szCs w:val="20"/>
          <w:lang w:eastAsia="en-GB"/>
        </w:rPr>
        <w:t xml:space="preserve">Practice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57"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07EC"/>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6E5F"/>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information-governance/guidance/records-management-code/"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12086</Words>
  <Characters>68891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Accounts</cp:lastModifiedBy>
  <cp:revision>2</cp:revision>
  <cp:lastPrinted>2019-06-13T09:46:00Z</cp:lastPrinted>
  <dcterms:created xsi:type="dcterms:W3CDTF">2025-05-19T10:42:00Z</dcterms:created>
  <dcterms:modified xsi:type="dcterms:W3CDTF">2025-05-19T10:42:00Z</dcterms:modified>
</cp:coreProperties>
</file>